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837DCC"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ЗАО Бауберг Групп</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7731437159</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12 174 293,41</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lastRenderedPageBreak/>
                    <w:t>2</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НПО Санпроектмонтаж</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7717130084</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711 277,04</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3</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Арт-Строй</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6229066281</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200 000,00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4</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ОАО МЕДИЦИНА</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7729058330</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160 387,09</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5</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ЕКА-Процессинг</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7704211353</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148 558,23</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6</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СКБ "АЛМАЗ-Столица</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7710576514</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70 000,00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7</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ДМ-Сервис</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7715996914</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44 660,00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8</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Макси Сервис</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7726719038</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43 800,00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9</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Диамант-Сервис</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7735591592</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37 350,00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10</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Территория</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7721282442</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37 200,00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11</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АктивСтройКомплект</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5040083027</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14 177,00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12</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ЛКМ-Элит</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7704814256</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3 100,00</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13</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АО Ведис-Строительный Контроль</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7706740867</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9 841 171,81</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14</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Автоконцепт Ко</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7716525682</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9 035 374,61</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15</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Доминус</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7703641191</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7 050 805,49</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16</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ООО Эриа</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7709911800</w:t>
                  </w:r>
                </w:p>
              </w:tc>
              <w:tc>
                <w:tcPr>
                  <w:tcW w:w="2193" w:type="dxa"/>
                  <w:shd w:val="clear" w:color="auto" w:fill="auto"/>
                  <w:noWrap/>
                  <w:vAlign w:val="bottom"/>
                  <w:hideMark/>
                </w:tcPr>
                <w:p w:rsidR="00837DCC" w:rsidRPr="00837DCC" w:rsidRDefault="00837DCC" w:rsidP="000A4B56">
                  <w:pPr>
                    <w:jc w:val="right"/>
                    <w:rPr>
                      <w:sz w:val="22"/>
                      <w:szCs w:val="22"/>
                    </w:rPr>
                  </w:pPr>
                  <w:r w:rsidRPr="00837DCC">
                    <w:rPr>
                      <w:sz w:val="22"/>
                      <w:szCs w:val="22"/>
                    </w:rPr>
                    <w:t>2 266 834,62</w:t>
                  </w:r>
                </w:p>
              </w:tc>
            </w:tr>
            <w:tr w:rsidR="00837DCC" w:rsidRPr="00837DCC" w:rsidTr="00837DCC">
              <w:trPr>
                <w:trHeight w:val="300"/>
                <w:jc w:val="center"/>
              </w:trPr>
              <w:tc>
                <w:tcPr>
                  <w:tcW w:w="540"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17</w:t>
                  </w:r>
                </w:p>
              </w:tc>
              <w:tc>
                <w:tcPr>
                  <w:tcW w:w="4120" w:type="dxa"/>
                  <w:shd w:val="clear" w:color="auto" w:fill="auto"/>
                  <w:noWrap/>
                  <w:vAlign w:val="bottom"/>
                  <w:hideMark/>
                </w:tcPr>
                <w:p w:rsidR="00837DCC" w:rsidRPr="00837DCC" w:rsidRDefault="00837DCC" w:rsidP="000A4B56">
                  <w:pPr>
                    <w:rPr>
                      <w:color w:val="000000"/>
                      <w:sz w:val="22"/>
                      <w:szCs w:val="22"/>
                    </w:rPr>
                  </w:pPr>
                  <w:r w:rsidRPr="00837DCC">
                    <w:rPr>
                      <w:color w:val="000000"/>
                      <w:sz w:val="22"/>
                      <w:szCs w:val="22"/>
                    </w:rPr>
                    <w:t xml:space="preserve">ООО ВЭК юнион </w:t>
                  </w:r>
                </w:p>
              </w:tc>
              <w:tc>
                <w:tcPr>
                  <w:tcW w:w="1474" w:type="dxa"/>
                  <w:shd w:val="clear" w:color="auto" w:fill="auto"/>
                  <w:noWrap/>
                  <w:hideMark/>
                </w:tcPr>
                <w:p w:rsidR="00837DCC" w:rsidRPr="00837DCC" w:rsidRDefault="00837DCC" w:rsidP="000A4B56">
                  <w:pPr>
                    <w:jc w:val="center"/>
                    <w:rPr>
                      <w:color w:val="000000"/>
                      <w:sz w:val="22"/>
                      <w:szCs w:val="22"/>
                    </w:rPr>
                  </w:pPr>
                  <w:r w:rsidRPr="00837DCC">
                    <w:rPr>
                      <w:color w:val="000000"/>
                      <w:sz w:val="22"/>
                      <w:szCs w:val="22"/>
                    </w:rPr>
                    <w:t>7709247480</w:t>
                  </w:r>
                </w:p>
              </w:tc>
              <w:tc>
                <w:tcPr>
                  <w:tcW w:w="2193" w:type="dxa"/>
                  <w:shd w:val="clear" w:color="auto" w:fill="auto"/>
                  <w:noWrap/>
                  <w:vAlign w:val="bottom"/>
                  <w:hideMark/>
                </w:tcPr>
                <w:p w:rsidR="00837DCC" w:rsidRPr="00837DCC" w:rsidRDefault="00837DCC" w:rsidP="000A4B56">
                  <w:pPr>
                    <w:jc w:val="right"/>
                    <w:rPr>
                      <w:color w:val="000000"/>
                      <w:sz w:val="22"/>
                      <w:szCs w:val="22"/>
                    </w:rPr>
                  </w:pPr>
                  <w:r w:rsidRPr="00837DCC">
                    <w:rPr>
                      <w:color w:val="000000"/>
                      <w:sz w:val="22"/>
                      <w:szCs w:val="22"/>
                    </w:rPr>
                    <w:t>10 439 015,71</w:t>
                  </w:r>
                </w:p>
              </w:tc>
            </w:tr>
          </w:tbl>
          <w:p w:rsidR="00E465AD" w:rsidRPr="00084013" w:rsidRDefault="00E465AD" w:rsidP="00E465AD">
            <w:pPr>
              <w:spacing w:before="40"/>
              <w:jc w:val="both"/>
            </w:pPr>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bookmarkStart w:id="0" w:name="_GoBack"/>
            <w:bookmarkEnd w:id="0"/>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 xml:space="preserve">требовать от Цедента информации о возможных возражениях Должников против прав требования, </w:t>
            </w:r>
            <w:r w:rsidRPr="00084013">
              <w:rPr>
                <w:sz w:val="22"/>
                <w:szCs w:val="22"/>
                <w:lang w:eastAsia="ru-RU"/>
              </w:rPr>
              <w:lastRenderedPageBreak/>
              <w:t>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lastRenderedPageBreak/>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lastRenderedPageBreak/>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w:t>
            </w:r>
            <w:r w:rsidRPr="00084013">
              <w:rPr>
                <w:spacing w:val="1"/>
                <w:sz w:val="22"/>
                <w:szCs w:val="22"/>
              </w:rPr>
              <w:lastRenderedPageBreak/>
              <w:t>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 xml:space="preserve">Настоящий Договор составлен в 2 (двух) экземплярах, имеющих одинаковый текст и равную </w:t>
            </w:r>
            <w:r w:rsidRPr="00084013">
              <w:rPr>
                <w:spacing w:val="-2"/>
                <w:sz w:val="22"/>
                <w:szCs w:val="22"/>
              </w:rPr>
              <w:lastRenderedPageBreak/>
              <w:t>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lastRenderedPageBreak/>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E1" w:rsidRDefault="00644AE1">
      <w:r>
        <w:separator/>
      </w:r>
    </w:p>
  </w:endnote>
  <w:endnote w:type="continuationSeparator" w:id="0">
    <w:p w:rsidR="00644AE1" w:rsidRDefault="0064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837DCC">
      <w:rPr>
        <w:rStyle w:val="a5"/>
        <w:noProof/>
      </w:rPr>
      <w:t>2</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E1" w:rsidRDefault="00644AE1">
      <w:r>
        <w:separator/>
      </w:r>
    </w:p>
  </w:footnote>
  <w:footnote w:type="continuationSeparator" w:id="0">
    <w:p w:rsidR="00644AE1" w:rsidRDefault="00644A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E5FA9"/>
    <w:rsid w:val="00224573"/>
    <w:rsid w:val="00313644"/>
    <w:rsid w:val="00330A4E"/>
    <w:rsid w:val="00342BB9"/>
    <w:rsid w:val="00351B9C"/>
    <w:rsid w:val="0038345F"/>
    <w:rsid w:val="00420D1D"/>
    <w:rsid w:val="00425E22"/>
    <w:rsid w:val="00490067"/>
    <w:rsid w:val="00491388"/>
    <w:rsid w:val="004B6B0C"/>
    <w:rsid w:val="004F4FE5"/>
    <w:rsid w:val="005226A4"/>
    <w:rsid w:val="005810C6"/>
    <w:rsid w:val="005D3790"/>
    <w:rsid w:val="005E4675"/>
    <w:rsid w:val="00644AE1"/>
    <w:rsid w:val="00675B1B"/>
    <w:rsid w:val="006F5D83"/>
    <w:rsid w:val="007668C2"/>
    <w:rsid w:val="007927E6"/>
    <w:rsid w:val="007935A1"/>
    <w:rsid w:val="007E0748"/>
    <w:rsid w:val="007E1204"/>
    <w:rsid w:val="007F18C6"/>
    <w:rsid w:val="00824788"/>
    <w:rsid w:val="00825758"/>
    <w:rsid w:val="00837DCC"/>
    <w:rsid w:val="008E0881"/>
    <w:rsid w:val="009072DC"/>
    <w:rsid w:val="00927776"/>
    <w:rsid w:val="0093240B"/>
    <w:rsid w:val="00941691"/>
    <w:rsid w:val="00976FF0"/>
    <w:rsid w:val="009A578B"/>
    <w:rsid w:val="009C0D9F"/>
    <w:rsid w:val="00A20E26"/>
    <w:rsid w:val="00A301F1"/>
    <w:rsid w:val="00A4168F"/>
    <w:rsid w:val="00AD5E5E"/>
    <w:rsid w:val="00B20CBE"/>
    <w:rsid w:val="00B757AB"/>
    <w:rsid w:val="00B9731F"/>
    <w:rsid w:val="00BD2E42"/>
    <w:rsid w:val="00BF2CBF"/>
    <w:rsid w:val="00C13E17"/>
    <w:rsid w:val="00C30851"/>
    <w:rsid w:val="00C4595E"/>
    <w:rsid w:val="00CC46C6"/>
    <w:rsid w:val="00D11CAA"/>
    <w:rsid w:val="00D54F4C"/>
    <w:rsid w:val="00E348EB"/>
    <w:rsid w:val="00E3663A"/>
    <w:rsid w:val="00E42D50"/>
    <w:rsid w:val="00E465AD"/>
    <w:rsid w:val="00EB3832"/>
    <w:rsid w:val="00ED2DB9"/>
    <w:rsid w:val="00F12949"/>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2818</Words>
  <Characters>16066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2017-07-26T08:59:00Z</dcterms:created>
  <dcterms:modified xsi:type="dcterms:W3CDTF">2017-07-26T08:59:00Z</dcterms:modified>
</cp:coreProperties>
</file>